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pStyle w:val="48"/>
        <w:spacing w:line="540" w:lineRule="exact"/>
        <w:jc w:val="center"/>
        <w:rPr>
          <w:rFonts w:hint="eastAsia"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hint="eastAsia"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hint="eastAsia"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hint="eastAsia" w:ascii="方正仿宋_GBK" w:hAnsi="方正仿宋_GBK" w:eastAsia="方正仿宋_GBK" w:cs="方正仿宋_GBK"/>
          <w:b/>
          <w:bCs/>
          <w:kern w:val="0"/>
          <w:sz w:val="52"/>
          <w:szCs w:val="52"/>
        </w:rPr>
      </w:pPr>
    </w:p>
    <w:p>
      <w:pPr>
        <w:pStyle w:val="48"/>
        <w:spacing w:line="540" w:lineRule="exact"/>
        <w:jc w:val="center"/>
        <w:rPr>
          <w:rFonts w:hint="eastAsia"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lang w:val="en-US" w:eastAsia="zh-CN"/>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hint="eastAsia" w:ascii="方正仿宋_GBK" w:hAnsi="方正仿宋_GBK" w:eastAsia="方正仿宋_GBK" w:cs="方正仿宋_GBK"/>
          <w:kern w:val="0"/>
          <w:sz w:val="30"/>
          <w:szCs w:val="30"/>
        </w:rPr>
      </w:pPr>
    </w:p>
    <w:p>
      <w:pPr>
        <w:pStyle w:val="48"/>
        <w:spacing w:line="540" w:lineRule="exact"/>
        <w:jc w:val="center"/>
        <w:rPr>
          <w:rFonts w:hint="eastAsia" w:ascii="方正仿宋_GBK" w:hAnsi="方正仿宋_GBK" w:eastAsia="方正仿宋_GBK" w:cs="方正仿宋_GBK"/>
          <w:kern w:val="0"/>
          <w:sz w:val="30"/>
          <w:szCs w:val="30"/>
        </w:rPr>
      </w:pPr>
    </w:p>
    <w:p>
      <w:pPr>
        <w:pStyle w:val="48"/>
        <w:spacing w:line="540" w:lineRule="exact"/>
        <w:jc w:val="center"/>
        <w:rPr>
          <w:rFonts w:hint="eastAsia" w:ascii="方正仿宋_GBK" w:hAnsi="方正仿宋_GBK" w:eastAsia="方正仿宋_GBK" w:cs="方正仿宋_GBK"/>
          <w:kern w:val="0"/>
          <w:sz w:val="30"/>
          <w:szCs w:val="30"/>
        </w:rPr>
      </w:pPr>
    </w:p>
    <w:p>
      <w:pPr>
        <w:pStyle w:val="48"/>
        <w:spacing w:line="540" w:lineRule="exact"/>
        <w:jc w:val="center"/>
        <w:rPr>
          <w:rFonts w:hint="eastAsia" w:ascii="方正仿宋_GBK" w:hAnsi="方正仿宋_GBK" w:eastAsia="方正仿宋_GBK" w:cs="方正仿宋_GBK"/>
          <w:kern w:val="0"/>
          <w:sz w:val="30"/>
          <w:szCs w:val="30"/>
        </w:rPr>
      </w:pPr>
    </w:p>
    <w:p>
      <w:pPr>
        <w:pStyle w:val="48"/>
        <w:spacing w:line="540" w:lineRule="exact"/>
        <w:rPr>
          <w:rFonts w:hint="eastAsia" w:ascii="方正仿宋_GBK" w:hAnsi="方正仿宋_GBK" w:eastAsia="方正仿宋_GBK" w:cs="方正仿宋_GBK"/>
          <w:kern w:val="0"/>
          <w:sz w:val="30"/>
          <w:szCs w:val="30"/>
        </w:rPr>
      </w:pPr>
    </w:p>
    <w:p>
      <w:pPr>
        <w:pStyle w:val="48"/>
        <w:spacing w:line="540" w:lineRule="exact"/>
        <w:rPr>
          <w:rFonts w:hint="eastAsia" w:ascii="方正仿宋_GBK" w:hAnsi="方正仿宋_GBK" w:eastAsia="方正仿宋_GBK" w:cs="方正仿宋_GBK"/>
          <w:kern w:val="0"/>
          <w:sz w:val="30"/>
          <w:szCs w:val="30"/>
        </w:rPr>
      </w:pPr>
    </w:p>
    <w:p>
      <w:pPr>
        <w:keepNext w:val="0"/>
        <w:keepLines w:val="0"/>
        <w:pageBreakBefore w:val="0"/>
        <w:kinsoku/>
        <w:wordWrap/>
        <w:overflowPunct/>
        <w:topLinePunct w:val="0"/>
        <w:autoSpaceDE/>
        <w:autoSpaceDN/>
        <w:bidi w:val="0"/>
        <w:adjustRightInd/>
        <w:snapToGrid/>
        <w:spacing w:line="570" w:lineRule="exact"/>
        <w:ind w:firstLine="720" w:firstLineChars="200"/>
        <w:textAlignment w:val="auto"/>
        <w:rPr>
          <w:rFonts w:hint="eastAsia" w:ascii="仿宋_GB2312" w:hAnsi="仿宋_GB2312" w:eastAsia="仿宋_GB2312" w:cs="仿宋_GB2312"/>
          <w:kern w:val="0"/>
          <w:sz w:val="36"/>
          <w:szCs w:val="36"/>
          <w:lang w:val="zh-TW" w:eastAsia="zh-CN" w:bidi="ar"/>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CN"/>
        </w:rPr>
        <w:t>英吉沙县南湖旅游度假区入口服务区景观绿化及附属工程</w:t>
      </w:r>
    </w:p>
    <w:p>
      <w:pPr>
        <w:pStyle w:val="48"/>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zh-TW" w:eastAsia="zh-CN"/>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CN"/>
        </w:rPr>
        <w:t>英吉沙县旅游局</w:t>
      </w:r>
    </w:p>
    <w:p>
      <w:pPr>
        <w:pStyle w:val="48"/>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英吉沙县旅游局</w:t>
      </w:r>
    </w:p>
    <w:p>
      <w:pPr>
        <w:pStyle w:val="48"/>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孙燕</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lang w:val="en-US" w:eastAsia="zh-CN"/>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hint="eastAsia" w:ascii="黑体" w:hAnsi="黑体" w:eastAsia="黑体"/>
          <w:b w:val="0"/>
          <w:spacing w:val="-4"/>
          <w:sz w:val="32"/>
          <w:szCs w:val="32"/>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rPr>
      </w:pPr>
      <w:r>
        <w:rPr>
          <w:rFonts w:hint="eastAsia" w:ascii="黑体" w:hAnsi="黑体" w:eastAsia="黑体" w:cs="宋体"/>
          <w:b/>
          <w:kern w:val="0"/>
          <w:sz w:val="36"/>
          <w:szCs w:val="36"/>
          <w:lang w:val="en-US" w:eastAsia="zh-CN"/>
        </w:rPr>
        <w:t>英吉沙县南湖旅游度假区入口服务区景观绿化及附属工程</w:t>
      </w:r>
      <w:r>
        <w:rPr>
          <w:rFonts w:hint="eastAsia" w:ascii="黑体" w:hAnsi="黑体" w:eastAsia="黑体" w:cs="宋体"/>
          <w:b/>
          <w:kern w:val="0"/>
          <w:sz w:val="36"/>
          <w:szCs w:val="36"/>
        </w:rPr>
        <w:t>绩效自评报告</w:t>
      </w:r>
    </w:p>
    <w:p>
      <w:pPr>
        <w:adjustRightInd w:val="0"/>
        <w:snapToGrid w:val="0"/>
        <w:spacing w:line="560" w:lineRule="exact"/>
        <w:ind w:firstLine="723" w:firstLineChars="200"/>
        <w:jc w:val="center"/>
        <w:rPr>
          <w:rFonts w:hint="eastAsia" w:ascii="黑体" w:hAnsi="黑体" w:eastAsia="黑体" w:cs="宋体"/>
          <w:b/>
          <w:kern w:val="0"/>
          <w:sz w:val="36"/>
          <w:szCs w:val="36"/>
        </w:rPr>
      </w:pP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旅游局2018年1个机构，实行独立核算，与2017年相比机构无变动。单位人员编制数18人，其中行政6人，事业12人。在职实有7人。</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hint="eastAsia" w:ascii="方正仿宋_GBK" w:hAnsi="方正仿宋_GBK" w:eastAsia="方正仿宋_GBK" w:cs="方正仿宋_GBK"/>
          <w:b w:val="0"/>
          <w:bCs/>
          <w:color w:val="auto"/>
          <w:spacing w:val="-4"/>
          <w:sz w:val="32"/>
          <w:szCs w:val="32"/>
        </w:rPr>
      </w:pPr>
      <w:r>
        <w:rPr>
          <w:rFonts w:hint="eastAsia" w:ascii="方正仿宋_GBK" w:hAnsi="方正仿宋_GBK" w:eastAsia="方正仿宋_GBK" w:cs="方正仿宋_GBK"/>
          <w:b w:val="0"/>
          <w:bCs/>
          <w:color w:val="auto"/>
          <w:spacing w:val="-4"/>
          <w:sz w:val="32"/>
          <w:szCs w:val="32"/>
        </w:rPr>
        <w:t>按照项目进度，完成项目竣工验收工作。</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rPr>
          <w:rFonts w:ascii="仿宋" w:hAnsi="仿宋" w:eastAsia="仿宋"/>
          <w:b/>
          <w:bCs/>
          <w:spacing w:val="-4"/>
          <w:sz w:val="32"/>
          <w:szCs w:val="32"/>
        </w:rPr>
      </w:pPr>
      <w:r>
        <w:rPr>
          <w:rFonts w:hint="eastAsia" w:ascii="仿宋" w:hAnsi="仿宋" w:eastAsia="仿宋"/>
          <w:b/>
          <w:bCs/>
          <w:spacing w:val="-4"/>
          <w:sz w:val="32"/>
          <w:szCs w:val="32"/>
        </w:rPr>
        <w:t>2、项目基本性质</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hint="eastAsia" w:ascii="仿宋" w:hAnsi="仿宋" w:eastAsia="仿宋"/>
          <w:b w:val="0"/>
          <w:bCs/>
          <w:color w:val="auto"/>
          <w:spacing w:val="-4"/>
          <w:sz w:val="32"/>
          <w:szCs w:val="32"/>
          <w:lang w:eastAsia="zh-CN"/>
        </w:rPr>
      </w:pPr>
      <w:r>
        <w:rPr>
          <w:rFonts w:hint="eastAsia" w:ascii="仿宋" w:hAnsi="仿宋" w:eastAsia="仿宋"/>
          <w:b w:val="0"/>
          <w:bCs/>
          <w:color w:val="auto"/>
          <w:spacing w:val="-4"/>
          <w:sz w:val="32"/>
          <w:szCs w:val="32"/>
        </w:rPr>
        <w:t>本项目性质为</w:t>
      </w:r>
      <w:r>
        <w:rPr>
          <w:rFonts w:hint="eastAsia" w:ascii="仿宋" w:hAnsi="仿宋" w:eastAsia="仿宋"/>
          <w:b w:val="0"/>
          <w:bCs/>
          <w:color w:val="auto"/>
          <w:spacing w:val="-4"/>
          <w:sz w:val="32"/>
          <w:szCs w:val="32"/>
          <w:lang w:eastAsia="zh-CN"/>
        </w:rPr>
        <w:t>新增</w:t>
      </w:r>
      <w:r>
        <w:rPr>
          <w:rFonts w:hint="eastAsia" w:ascii="仿宋" w:hAnsi="仿宋" w:eastAsia="仿宋"/>
          <w:b w:val="0"/>
          <w:bCs/>
          <w:color w:val="auto"/>
          <w:spacing w:val="-4"/>
          <w:sz w:val="32"/>
          <w:szCs w:val="32"/>
        </w:rPr>
        <w:t>项目</w:t>
      </w:r>
      <w:r>
        <w:rPr>
          <w:rFonts w:hint="eastAsia" w:ascii="仿宋" w:hAnsi="仿宋" w:eastAsia="仿宋"/>
          <w:b w:val="0"/>
          <w:bCs/>
          <w:color w:val="auto"/>
          <w:spacing w:val="-4"/>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本资金主要用于支付英吉沙县南湖旅游度假区入口服务区景观绿化及附属工程工程款。</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ascii="仿宋" w:hAnsi="仿宋" w:eastAsia="仿宋"/>
          <w:b w:val="0"/>
          <w:bCs/>
          <w:color w:val="auto"/>
          <w:spacing w:val="-4"/>
          <w:sz w:val="32"/>
          <w:szCs w:val="32"/>
        </w:rPr>
      </w:pPr>
      <w:r>
        <w:rPr>
          <w:rFonts w:hint="eastAsia" w:ascii="仿宋" w:hAnsi="仿宋" w:eastAsia="仿宋"/>
          <w:b w:val="0"/>
          <w:bCs/>
          <w:color w:val="auto"/>
          <w:spacing w:val="-4"/>
          <w:sz w:val="32"/>
          <w:szCs w:val="32"/>
        </w:rPr>
        <w:t>项目预算安排总额为</w:t>
      </w:r>
      <w:r>
        <w:rPr>
          <w:rFonts w:hint="eastAsia" w:ascii="仿宋" w:hAnsi="仿宋" w:eastAsia="仿宋"/>
          <w:b w:val="0"/>
          <w:bCs/>
          <w:color w:val="auto"/>
          <w:spacing w:val="-4"/>
          <w:sz w:val="32"/>
          <w:szCs w:val="32"/>
          <w:lang w:val="en-US" w:eastAsia="zh-CN"/>
        </w:rPr>
        <w:t>0</w:t>
      </w:r>
      <w:r>
        <w:rPr>
          <w:rFonts w:hint="eastAsia" w:ascii="仿宋" w:hAnsi="仿宋" w:eastAsia="仿宋"/>
          <w:b w:val="0"/>
          <w:bCs/>
          <w:color w:val="auto"/>
          <w:spacing w:val="-4"/>
          <w:sz w:val="32"/>
          <w:szCs w:val="32"/>
        </w:rPr>
        <w:t>万元，2018年</w:t>
      </w:r>
      <w:r>
        <w:rPr>
          <w:rFonts w:hint="eastAsia" w:ascii="仿宋" w:hAnsi="仿宋" w:eastAsia="仿宋"/>
          <w:b w:val="0"/>
          <w:bCs/>
          <w:color w:val="auto"/>
          <w:spacing w:val="-4"/>
          <w:sz w:val="32"/>
          <w:szCs w:val="32"/>
          <w:lang w:eastAsia="zh-CN"/>
        </w:rPr>
        <w:t>执行数为</w:t>
      </w:r>
      <w:r>
        <w:rPr>
          <w:rFonts w:hint="eastAsia" w:ascii="仿宋" w:hAnsi="仿宋" w:eastAsia="仿宋"/>
          <w:b w:val="0"/>
          <w:bCs/>
          <w:color w:val="auto"/>
          <w:spacing w:val="-4"/>
          <w:sz w:val="32"/>
          <w:szCs w:val="32"/>
          <w:lang w:val="en-US" w:eastAsia="zh-CN"/>
        </w:rPr>
        <w:t>175.727万元</w:t>
      </w:r>
      <w:r>
        <w:rPr>
          <w:rFonts w:hint="eastAsia" w:ascii="仿宋" w:hAnsi="仿宋" w:eastAsia="仿宋"/>
          <w:b w:val="0"/>
          <w:bCs/>
          <w:color w:val="auto"/>
          <w:spacing w:val="-4"/>
          <w:sz w:val="32"/>
          <w:szCs w:val="32"/>
        </w:rPr>
        <w:t>。</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20" w:lineRule="exact"/>
        <w:ind w:firstLine="624" w:firstLineChars="200"/>
        <w:rPr>
          <w:rFonts w:hint="eastAsia" w:ascii="仿宋_GB2312" w:hAnsi="仿宋_GB2312" w:eastAsia="仿宋_GB2312" w:cs="仿宋_GB2312"/>
          <w:sz w:val="32"/>
          <w:szCs w:val="32"/>
        </w:rPr>
      </w:pPr>
      <w:r>
        <w:rPr>
          <w:rFonts w:hint="eastAsia" w:ascii="仿宋" w:hAnsi="仿宋" w:eastAsia="仿宋"/>
          <w:b w:val="0"/>
          <w:bCs/>
          <w:color w:val="auto"/>
          <w:spacing w:val="-4"/>
          <w:sz w:val="32"/>
          <w:szCs w:val="32"/>
        </w:rPr>
        <w:t>本项目实际支付资金</w:t>
      </w:r>
      <w:r>
        <w:rPr>
          <w:rFonts w:hint="eastAsia" w:ascii="仿宋" w:hAnsi="仿宋" w:eastAsia="仿宋"/>
          <w:b w:val="0"/>
          <w:bCs/>
          <w:color w:val="auto"/>
          <w:spacing w:val="-4"/>
          <w:sz w:val="32"/>
          <w:szCs w:val="32"/>
          <w:lang w:val="en-US" w:eastAsia="zh-CN"/>
        </w:rPr>
        <w:t>175.727</w:t>
      </w:r>
      <w:bookmarkStart w:id="0" w:name="_GoBack"/>
      <w:bookmarkEnd w:id="0"/>
      <w:r>
        <w:rPr>
          <w:rFonts w:hint="eastAsia" w:ascii="仿宋" w:hAnsi="仿宋" w:eastAsia="仿宋"/>
          <w:b w:val="0"/>
          <w:bCs/>
          <w:color w:val="auto"/>
          <w:spacing w:val="-4"/>
          <w:sz w:val="32"/>
          <w:szCs w:val="32"/>
        </w:rPr>
        <w:t>万元，执行率</w:t>
      </w:r>
      <w:r>
        <w:rPr>
          <w:rFonts w:hint="eastAsia" w:ascii="仿宋" w:hAnsi="仿宋" w:eastAsia="仿宋"/>
          <w:b w:val="0"/>
          <w:bCs/>
          <w:color w:val="auto"/>
          <w:spacing w:val="-4"/>
          <w:sz w:val="32"/>
          <w:szCs w:val="32"/>
          <w:lang w:val="en-US" w:eastAsia="zh-CN"/>
        </w:rPr>
        <w:t>100</w:t>
      </w:r>
      <w:r>
        <w:rPr>
          <w:rFonts w:ascii="仿宋" w:hAnsi="仿宋" w:eastAsia="仿宋"/>
          <w:b w:val="0"/>
          <w:bCs/>
          <w:color w:val="auto"/>
          <w:spacing w:val="-4"/>
          <w:sz w:val="32"/>
          <w:szCs w:val="32"/>
        </w:rPr>
        <w:t>%</w:t>
      </w:r>
      <w:r>
        <w:rPr>
          <w:rFonts w:hint="eastAsia" w:ascii="仿宋" w:hAnsi="仿宋" w:eastAsia="仿宋"/>
          <w:b w:val="0"/>
          <w:bCs/>
          <w:color w:val="auto"/>
          <w:spacing w:val="-4"/>
          <w:sz w:val="32"/>
          <w:szCs w:val="32"/>
        </w:rPr>
        <w:t>。项目资金主要用于</w:t>
      </w:r>
      <w:r>
        <w:rPr>
          <w:rFonts w:hint="eastAsia" w:ascii="仿宋" w:hAnsi="仿宋" w:eastAsia="仿宋"/>
          <w:b w:val="0"/>
          <w:bCs/>
          <w:color w:val="auto"/>
          <w:spacing w:val="-4"/>
          <w:sz w:val="32"/>
          <w:szCs w:val="32"/>
          <w:lang w:eastAsia="zh-CN"/>
        </w:rPr>
        <w:t>支付</w:t>
      </w:r>
      <w:r>
        <w:rPr>
          <w:rFonts w:hint="eastAsia" w:ascii="仿宋_GB2312" w:hAnsi="仿宋_GB2312" w:eastAsia="仿宋_GB2312" w:cs="仿宋_GB2312"/>
          <w:sz w:val="32"/>
          <w:szCs w:val="32"/>
          <w:lang w:eastAsia="zh-CN"/>
        </w:rPr>
        <w:t>英吉沙县南湖旅游度假区入口服务区景观绿化及附属工程工程款。</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ascii="仿宋" w:hAnsi="仿宋" w:eastAsia="仿宋"/>
          <w:bCs/>
          <w:color w:val="auto"/>
          <w:spacing w:val="-4"/>
          <w:sz w:val="32"/>
          <w:szCs w:val="32"/>
        </w:rPr>
      </w:pPr>
      <w:r>
        <w:rPr>
          <w:rFonts w:hint="eastAsia" w:ascii="仿宋" w:hAnsi="仿宋" w:eastAsia="仿宋"/>
          <w:bCs/>
          <w:color w:val="auto"/>
          <w:spacing w:val="-4"/>
          <w:sz w:val="32"/>
          <w:szCs w:val="32"/>
          <w:lang w:eastAsia="zh-CN"/>
        </w:rPr>
        <w:t>该</w:t>
      </w:r>
      <w:r>
        <w:rPr>
          <w:rFonts w:hint="eastAsia" w:ascii="仿宋" w:hAnsi="仿宋" w:eastAsia="仿宋"/>
          <w:bCs/>
          <w:color w:val="auto"/>
          <w:spacing w:val="-4"/>
          <w:sz w:val="32"/>
          <w:szCs w:val="32"/>
        </w:rPr>
        <w:t>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（一）项目组织情况分析</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Style w:val="18"/>
          <w:rFonts w:hint="eastAsia" w:ascii="仿宋" w:hAnsi="仿宋" w:eastAsia="仿宋"/>
          <w:b w:val="0"/>
          <w:color w:val="auto"/>
          <w:spacing w:val="-4"/>
          <w:sz w:val="32"/>
          <w:szCs w:val="32"/>
          <w:lang w:eastAsia="zh-CN"/>
        </w:rPr>
      </w:pPr>
      <w:r>
        <w:rPr>
          <w:rStyle w:val="18"/>
          <w:rFonts w:hint="eastAsia" w:ascii="仿宋" w:hAnsi="仿宋" w:eastAsia="仿宋"/>
          <w:b w:val="0"/>
          <w:color w:val="auto"/>
          <w:spacing w:val="-4"/>
          <w:sz w:val="32"/>
          <w:szCs w:val="32"/>
          <w:lang w:eastAsia="zh-CN"/>
        </w:rPr>
        <w:t>为保证项目质量和成本控制，项目实施完成后，由本项目相关人员于2018年8月30日完成检查验收，检查验收合格后按合同规定支付款项。</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val="0"/>
        <w:snapToGrid w:val="0"/>
        <w:spacing w:line="500" w:lineRule="exact"/>
        <w:ind w:firstLine="624" w:firstLineChars="200"/>
        <w:textAlignment w:val="auto"/>
        <w:rPr>
          <w:rFonts w:hint="eastAsia" w:ascii="仿宋" w:hAnsi="仿宋" w:eastAsia="仿宋"/>
          <w:bCs/>
          <w:color w:val="auto"/>
          <w:spacing w:val="-4"/>
          <w:sz w:val="32"/>
          <w:szCs w:val="32"/>
        </w:rPr>
      </w:pPr>
      <w:r>
        <w:rPr>
          <w:rFonts w:hint="eastAsia" w:ascii="仿宋" w:hAnsi="仿宋" w:eastAsia="仿宋"/>
          <w:bCs/>
          <w:color w:val="auto"/>
          <w:spacing w:val="-4"/>
          <w:sz w:val="32"/>
          <w:szCs w:val="32"/>
        </w:rPr>
        <w:t>项目的实施遵守相关法律法规和业务管理规定，项目资料齐全并及时归档。</w:t>
      </w:r>
      <w:r>
        <w:rPr>
          <w:rFonts w:hint="eastAsia" w:ascii="仿宋" w:hAnsi="仿宋" w:eastAsia="仿宋"/>
          <w:bCs/>
          <w:color w:val="auto"/>
          <w:spacing w:val="-4"/>
          <w:sz w:val="32"/>
          <w:szCs w:val="32"/>
          <w:lang w:eastAsia="zh-CN"/>
        </w:rPr>
        <w:t>建设过程中，我局</w:t>
      </w:r>
      <w:r>
        <w:rPr>
          <w:rFonts w:hint="eastAsia" w:ascii="仿宋" w:hAnsi="仿宋" w:eastAsia="仿宋"/>
          <w:bCs/>
          <w:color w:val="auto"/>
          <w:spacing w:val="-4"/>
          <w:sz w:val="32"/>
          <w:szCs w:val="32"/>
        </w:rPr>
        <w:t>不定期对项目进度情况进行督导检查，对检查过程中发现的问题及时督促整改，确保了项目按时保质完成。</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firstLine="652" w:firstLineChars="209"/>
        <w:textAlignment w:val="auto"/>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keepNext w:val="0"/>
        <w:keepLines w:val="0"/>
        <w:pageBreakBefore w:val="0"/>
        <w:widowControl w:val="0"/>
        <w:kinsoku/>
        <w:wordWrap/>
        <w:overflowPunct/>
        <w:topLinePunct w:val="0"/>
        <w:autoSpaceDE/>
        <w:autoSpaceDN/>
        <w:bidi w:val="0"/>
        <w:spacing w:line="500" w:lineRule="exact"/>
        <w:ind w:firstLine="640" w:firstLineChars="200"/>
        <w:jc w:val="left"/>
        <w:textAlignment w:val="auto"/>
        <w:rPr>
          <w:rFonts w:hint="eastAsia" w:ascii="仿宋" w:hAnsi="仿宋" w:eastAsia="仿宋" w:cs="仿宋"/>
          <w:bCs/>
          <w:kern w:val="2"/>
          <w:sz w:val="32"/>
          <w:szCs w:val="32"/>
          <w:lang w:val="en-US" w:eastAsia="zh-CN" w:bidi="ar"/>
        </w:rPr>
      </w:pPr>
      <w:r>
        <w:rPr>
          <w:rFonts w:hint="eastAsia" w:ascii="仿宋" w:hAnsi="仿宋" w:eastAsia="仿宋" w:cs="仿宋"/>
          <w:bCs/>
          <w:kern w:val="2"/>
          <w:sz w:val="32"/>
          <w:szCs w:val="32"/>
          <w:lang w:val="en-US" w:eastAsia="zh-CN" w:bidi="ar"/>
        </w:rPr>
        <w:t>本项目共设置一级指标3个，二级指标9个，三级指标8个，其中已完成三级指标8个，指标完成率为100%。</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ascii="仿宋" w:hAnsi="仿宋" w:eastAsia="仿宋"/>
          <w:b w:val="0"/>
          <w:bCs w:val="0"/>
          <w:color w:val="auto"/>
          <w:spacing w:val="-4"/>
          <w:sz w:val="32"/>
          <w:szCs w:val="32"/>
        </w:rPr>
      </w:pPr>
      <w:r>
        <w:rPr>
          <w:rFonts w:hint="eastAsia" w:ascii="仿宋" w:hAnsi="仿宋" w:eastAsia="仿宋"/>
          <w:b w:val="0"/>
          <w:bCs w:val="0"/>
          <w:color w:val="auto"/>
          <w:spacing w:val="-4"/>
          <w:sz w:val="32"/>
          <w:szCs w:val="32"/>
        </w:rPr>
        <w:t>2018年本项目绩效目标全部达成，不存在未完成原因分析。</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hint="eastAsia"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eastAsia="zh-CN"/>
        </w:rPr>
        <w:t>英吉沙县南湖旅游度假区入口服务区景观绿化及附属工程</w:t>
      </w:r>
      <w:r>
        <w:rPr>
          <w:rFonts w:hint="eastAsia" w:ascii="仿宋" w:hAnsi="仿宋" w:eastAsia="仿宋"/>
          <w:color w:val="auto"/>
          <w:spacing w:val="-4"/>
          <w:sz w:val="32"/>
          <w:szCs w:val="32"/>
        </w:rPr>
        <w:t>资金的使用效率和效果，项目管理过程规范，完成了预期绩效目标等。同时，通过开展自我评价来总结经验和教训，为今后的开展提供参考建议。</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七、附表</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5DA3DC8"/>
    <w:rsid w:val="0FAA6551"/>
    <w:rsid w:val="13630812"/>
    <w:rsid w:val="16C705F5"/>
    <w:rsid w:val="1A313247"/>
    <w:rsid w:val="1EDC14A2"/>
    <w:rsid w:val="2A17394D"/>
    <w:rsid w:val="2F830997"/>
    <w:rsid w:val="34CD43A9"/>
    <w:rsid w:val="39E45AEF"/>
    <w:rsid w:val="3A9D5E32"/>
    <w:rsid w:val="3AC63834"/>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4"/>
    <w:semiHidden/>
    <w:qFormat/>
    <w:uiPriority w:val="9"/>
    <w:rPr>
      <w:rFonts w:asciiTheme="majorHAnsi" w:hAnsiTheme="majorHAnsi" w:eastAsiaTheme="majorEastAsia"/>
      <w:b/>
      <w:bCs/>
      <w:i/>
      <w:iCs/>
      <w:sz w:val="28"/>
      <w:szCs w:val="28"/>
    </w:rPr>
  </w:style>
  <w:style w:type="character" w:customStyle="1" w:styleId="23">
    <w:name w:val="标题 3 Char"/>
    <w:basedOn w:val="17"/>
    <w:link w:val="2"/>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12</TotalTime>
  <ScaleCrop>false</ScaleCrop>
  <LinksUpToDate>false</LinksUpToDate>
  <CharactersWithSpaces>2449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2019-09-07T05:15:12Z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